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3F244F">
      <w:pPr>
        <w:jc w:val="center"/>
        <w:rPr>
          <w:rFonts w:hint="eastAsia" w:ascii="Times New Roman" w:hAnsi="Times New Roman" w:eastAsia="方正小标宋简体"/>
          <w:sz w:val="48"/>
          <w:szCs w:val="48"/>
        </w:rPr>
      </w:pPr>
    </w:p>
    <w:p w14:paraId="33C236C2">
      <w:pPr>
        <w:jc w:val="center"/>
        <w:rPr>
          <w:rFonts w:hint="eastAsia" w:ascii="Times New Roman" w:hAnsi="Times New Roman" w:eastAsia="方正小标宋简体"/>
          <w:sz w:val="48"/>
          <w:szCs w:val="48"/>
        </w:rPr>
      </w:pPr>
    </w:p>
    <w:p w14:paraId="238E2901">
      <w:pPr>
        <w:jc w:val="center"/>
        <w:rPr>
          <w:rFonts w:hint="eastAsia" w:ascii="Times New Roman" w:hAnsi="Times New Roman" w:eastAsia="方正小标宋简体"/>
          <w:sz w:val="48"/>
          <w:szCs w:val="48"/>
        </w:rPr>
      </w:pPr>
      <w:bookmarkStart w:id="0" w:name="_GoBack"/>
      <w:bookmarkEnd w:id="0"/>
    </w:p>
    <w:p w14:paraId="07F3AF02">
      <w:pPr>
        <w:jc w:val="center"/>
        <w:rPr>
          <w:rFonts w:ascii="Times New Roman" w:hAnsi="Times New Roman" w:eastAsia="方正小标宋简体"/>
          <w:sz w:val="48"/>
          <w:szCs w:val="48"/>
        </w:rPr>
      </w:pPr>
      <w:r>
        <w:rPr>
          <w:rFonts w:hint="eastAsia" w:ascii="Times New Roman" w:hAnsi="Times New Roman" w:eastAsia="方正小标宋简体"/>
          <w:sz w:val="48"/>
          <w:szCs w:val="48"/>
          <w:lang w:eastAsia="zh-CN"/>
        </w:rPr>
        <w:t>其他审计综合事务经费</w:t>
      </w:r>
      <w:r>
        <w:rPr>
          <w:rFonts w:hint="eastAsia" w:ascii="Times New Roman" w:hAnsi="Times New Roman" w:eastAsia="方正小标宋简体"/>
          <w:sz w:val="48"/>
          <w:szCs w:val="48"/>
        </w:rPr>
        <w:t>项目</w:t>
      </w:r>
      <w:r>
        <w:rPr>
          <w:rFonts w:ascii="Times New Roman" w:hAnsi="Times New Roman" w:eastAsia="方正小标宋简体"/>
          <w:sz w:val="48"/>
          <w:szCs w:val="48"/>
        </w:rPr>
        <w:t>支出</w:t>
      </w:r>
    </w:p>
    <w:p w14:paraId="02F4675F">
      <w:pPr>
        <w:jc w:val="center"/>
        <w:rPr>
          <w:rFonts w:ascii="Times New Roman" w:hAnsi="Times New Roman" w:eastAsia="方正小标宋简体"/>
          <w:sz w:val="48"/>
          <w:szCs w:val="48"/>
        </w:rPr>
      </w:pPr>
      <w:r>
        <w:rPr>
          <w:rFonts w:ascii="Times New Roman" w:hAnsi="Times New Roman" w:eastAsia="方正小标宋简体"/>
          <w:sz w:val="48"/>
          <w:szCs w:val="48"/>
        </w:rPr>
        <w:t>绩效自评报告</w:t>
      </w:r>
    </w:p>
    <w:p w14:paraId="302A89D2">
      <w:pPr>
        <w:jc w:val="center"/>
        <w:rPr>
          <w:rFonts w:ascii="Times New Roman" w:hAnsi="Times New Roman" w:eastAsia="方正小标宋简体"/>
          <w:sz w:val="36"/>
          <w:szCs w:val="36"/>
        </w:rPr>
      </w:pPr>
      <w:r>
        <w:rPr>
          <w:rFonts w:hint="eastAsia" w:ascii="Times New Roman" w:hAnsi="Times New Roman" w:eastAsia="方正小标宋简体"/>
          <w:sz w:val="36"/>
          <w:szCs w:val="36"/>
        </w:rPr>
        <w:t>（</w:t>
      </w:r>
      <w:r>
        <w:rPr>
          <w:rFonts w:ascii="Times New Roman" w:hAnsi="Times New Roman" w:eastAsia="方正小标宋简体"/>
          <w:sz w:val="36"/>
          <w:szCs w:val="36"/>
        </w:rPr>
        <w:t>202</w:t>
      </w:r>
      <w:r>
        <w:rPr>
          <w:rFonts w:hint="eastAsia" w:ascii="Times New Roman" w:hAnsi="Times New Roman" w:eastAsia="方正小标宋简体"/>
          <w:sz w:val="36"/>
          <w:szCs w:val="36"/>
          <w:lang w:val="en-US" w:eastAsia="zh-CN"/>
        </w:rPr>
        <w:t>4</w:t>
      </w:r>
      <w:r>
        <w:rPr>
          <w:rFonts w:ascii="Times New Roman" w:hAnsi="Times New Roman" w:eastAsia="方正小标宋简体"/>
          <w:sz w:val="36"/>
          <w:szCs w:val="36"/>
        </w:rPr>
        <w:t>年度</w:t>
      </w:r>
      <w:r>
        <w:rPr>
          <w:rFonts w:hint="eastAsia" w:ascii="Times New Roman" w:hAnsi="Times New Roman" w:eastAsia="方正小标宋简体"/>
          <w:sz w:val="36"/>
          <w:szCs w:val="36"/>
        </w:rPr>
        <w:t>）</w:t>
      </w:r>
    </w:p>
    <w:p w14:paraId="3A231140">
      <w:pPr>
        <w:jc w:val="center"/>
        <w:rPr>
          <w:rFonts w:ascii="Times New Roman" w:hAnsi="Times New Roman" w:eastAsia="黑体"/>
          <w:sz w:val="32"/>
          <w:szCs w:val="32"/>
        </w:rPr>
      </w:pPr>
    </w:p>
    <w:p w14:paraId="37CEA4D4">
      <w:pPr>
        <w:jc w:val="center"/>
        <w:rPr>
          <w:rFonts w:ascii="Times New Roman" w:hAnsi="Times New Roman" w:eastAsia="黑体"/>
          <w:sz w:val="32"/>
          <w:szCs w:val="32"/>
        </w:rPr>
      </w:pPr>
    </w:p>
    <w:p w14:paraId="4BEBB975">
      <w:pPr>
        <w:jc w:val="center"/>
        <w:rPr>
          <w:rFonts w:ascii="Times New Roman" w:hAnsi="Times New Roman" w:eastAsia="黑体"/>
          <w:sz w:val="32"/>
          <w:szCs w:val="32"/>
        </w:rPr>
      </w:pPr>
    </w:p>
    <w:p w14:paraId="408B854A">
      <w:pPr>
        <w:jc w:val="center"/>
        <w:rPr>
          <w:rFonts w:ascii="Times New Roman" w:hAnsi="Times New Roman" w:eastAsia="黑体"/>
          <w:sz w:val="32"/>
          <w:szCs w:val="32"/>
        </w:rPr>
      </w:pPr>
    </w:p>
    <w:p w14:paraId="6AE8C9F4">
      <w:pPr>
        <w:rPr>
          <w:rFonts w:ascii="Times New Roman" w:hAnsi="Times New Roman" w:eastAsia="黑体"/>
          <w:sz w:val="32"/>
          <w:szCs w:val="32"/>
        </w:rPr>
      </w:pPr>
    </w:p>
    <w:p w14:paraId="7F0710A6">
      <w:pPr>
        <w:jc w:val="center"/>
        <w:rPr>
          <w:rFonts w:ascii="Times New Roman" w:hAnsi="Times New Roman"/>
          <w:sz w:val="36"/>
          <w:szCs w:val="36"/>
        </w:rPr>
      </w:pPr>
    </w:p>
    <w:p w14:paraId="5147837E">
      <w:pPr>
        <w:jc w:val="center"/>
        <w:rPr>
          <w:rFonts w:ascii="Times New Roman" w:hAnsi="Times New Roman"/>
          <w:sz w:val="36"/>
          <w:szCs w:val="36"/>
        </w:rPr>
      </w:pPr>
    </w:p>
    <w:p w14:paraId="2BAE2083">
      <w:pPr>
        <w:jc w:val="center"/>
        <w:rPr>
          <w:rFonts w:ascii="Times New Roman" w:hAnsi="Times New Roman"/>
          <w:sz w:val="36"/>
          <w:szCs w:val="36"/>
        </w:rPr>
      </w:pPr>
    </w:p>
    <w:p w14:paraId="70B9B21D">
      <w:pPr>
        <w:jc w:val="center"/>
        <w:rPr>
          <w:rFonts w:ascii="Times New Roman" w:hAnsi="Times New Roman"/>
          <w:sz w:val="36"/>
          <w:szCs w:val="36"/>
        </w:rPr>
      </w:pPr>
    </w:p>
    <w:p w14:paraId="3F49CE6F">
      <w:pPr>
        <w:jc w:val="center"/>
        <w:rPr>
          <w:rFonts w:ascii="Times New Roman" w:hAnsi="Times New Roman"/>
          <w:sz w:val="36"/>
          <w:szCs w:val="36"/>
        </w:rPr>
      </w:pPr>
    </w:p>
    <w:p w14:paraId="72437BD0">
      <w:pPr>
        <w:ind w:firstLine="1440" w:firstLineChars="400"/>
        <w:jc w:val="both"/>
        <w:rPr>
          <w:rFonts w:hint="eastAsia" w:ascii="Times New Roman" w:hAnsi="Times New Roman" w:eastAsia="宋体"/>
          <w:sz w:val="36"/>
          <w:szCs w:val="36"/>
          <w:lang w:eastAsia="zh-CN"/>
        </w:rPr>
      </w:pPr>
      <w:r>
        <w:rPr>
          <w:rFonts w:ascii="Times New Roman" w:hAnsi="Times New Roman"/>
          <w:sz w:val="36"/>
          <w:szCs w:val="36"/>
        </w:rPr>
        <w:t>单位名称</w:t>
      </w:r>
      <w:r>
        <w:rPr>
          <w:rFonts w:hint="eastAsia" w:ascii="Times New Roman" w:hAnsi="Times New Roman"/>
          <w:sz w:val="36"/>
          <w:szCs w:val="36"/>
        </w:rPr>
        <w:t>（盖章）：</w:t>
      </w:r>
      <w:r>
        <w:rPr>
          <w:rFonts w:hint="eastAsia" w:ascii="Times New Roman" w:hAnsi="Times New Roman"/>
          <w:sz w:val="36"/>
          <w:szCs w:val="36"/>
          <w:lang w:eastAsia="zh-CN"/>
        </w:rPr>
        <w:t>衡阳市审计局</w:t>
      </w:r>
    </w:p>
    <w:p w14:paraId="53303648">
      <w:pPr>
        <w:ind w:firstLine="1440" w:firstLineChars="400"/>
        <w:jc w:val="both"/>
        <w:rPr>
          <w:rFonts w:ascii="Times New Roman" w:hAnsi="Times New Roman" w:eastAsia="黑体"/>
          <w:sz w:val="36"/>
          <w:szCs w:val="36"/>
        </w:rPr>
      </w:pPr>
      <w:r>
        <w:rPr>
          <w:rFonts w:hint="eastAsia" w:ascii="Times New Roman" w:hAnsi="Times New Roman"/>
          <w:sz w:val="36"/>
          <w:szCs w:val="36"/>
        </w:rPr>
        <w:t>主要负责人签字</w:t>
      </w:r>
      <w:r>
        <w:rPr>
          <w:rFonts w:ascii="Times New Roman" w:hAnsi="Times New Roman"/>
          <w:sz w:val="36"/>
          <w:szCs w:val="36"/>
        </w:rPr>
        <w:t>：</w:t>
      </w:r>
    </w:p>
    <w:p w14:paraId="57B2C047">
      <w:pPr>
        <w:jc w:val="center"/>
        <w:rPr>
          <w:rFonts w:ascii="Times New Roman" w:hAnsi="Times New Roman" w:eastAsia="黑体"/>
          <w:sz w:val="36"/>
          <w:szCs w:val="36"/>
        </w:rPr>
      </w:pPr>
    </w:p>
    <w:p w14:paraId="40959DAB">
      <w:pPr>
        <w:ind w:firstLine="2880" w:firstLineChars="900"/>
        <w:rPr>
          <w:rFonts w:ascii="Times New Roman" w:hAnsi="Times New Roman" w:eastAsia="黑体"/>
          <w:sz w:val="32"/>
          <w:szCs w:val="32"/>
        </w:rPr>
      </w:pPr>
      <w:r>
        <w:rPr>
          <w:rFonts w:hint="eastAsia" w:ascii="Times New Roman" w:hAnsi="Times New Roman" w:eastAsia="黑体"/>
          <w:sz w:val="32"/>
          <w:szCs w:val="32"/>
          <w:lang w:val="en-US" w:eastAsia="zh-CN"/>
        </w:rPr>
        <w:t>2025</w:t>
      </w:r>
      <w:r>
        <w:rPr>
          <w:rFonts w:ascii="Times New Roman" w:hAnsi="Times New Roman" w:eastAsia="黑体"/>
          <w:sz w:val="32"/>
          <w:szCs w:val="32"/>
        </w:rPr>
        <w:t>年</w:t>
      </w:r>
      <w:r>
        <w:rPr>
          <w:rFonts w:hint="eastAsia" w:ascii="Times New Roman" w:hAnsi="Times New Roman" w:eastAsia="黑体"/>
          <w:sz w:val="32"/>
          <w:szCs w:val="32"/>
          <w:lang w:val="en-US" w:eastAsia="zh-CN"/>
        </w:rPr>
        <w:t>2</w:t>
      </w:r>
      <w:r>
        <w:rPr>
          <w:rFonts w:ascii="Times New Roman" w:hAnsi="Times New Roman" w:eastAsia="黑体"/>
          <w:sz w:val="32"/>
          <w:szCs w:val="32"/>
        </w:rPr>
        <w:t>月</w:t>
      </w:r>
      <w:r>
        <w:rPr>
          <w:rFonts w:hint="eastAsia" w:ascii="Times New Roman" w:hAnsi="Times New Roman" w:eastAsia="黑体"/>
          <w:sz w:val="32"/>
          <w:szCs w:val="32"/>
          <w:lang w:val="en-US" w:eastAsia="zh-CN"/>
        </w:rPr>
        <w:t>28</w:t>
      </w:r>
      <w:r>
        <w:rPr>
          <w:rFonts w:ascii="Times New Roman" w:hAnsi="Times New Roman" w:eastAsia="黑体"/>
          <w:sz w:val="32"/>
          <w:szCs w:val="32"/>
        </w:rPr>
        <w:t>日</w:t>
      </w:r>
    </w:p>
    <w:p w14:paraId="62DBDAD1">
      <w:pPr>
        <w:jc w:val="center"/>
        <w:rPr>
          <w:rFonts w:ascii="Times New Roman" w:hAnsi="Times New Roman" w:eastAsia="黑体"/>
          <w:sz w:val="32"/>
          <w:szCs w:val="32"/>
        </w:rPr>
      </w:pPr>
    </w:p>
    <w:p w14:paraId="289EED98">
      <w:pPr>
        <w:spacing w:line="600" w:lineRule="exact"/>
        <w:jc w:val="center"/>
        <w:rPr>
          <w:rFonts w:ascii="Times New Roman" w:hAnsi="Times New Roman" w:eastAsia="方正小标宋_GBK"/>
          <w:sz w:val="36"/>
          <w:szCs w:val="36"/>
        </w:rPr>
      </w:pPr>
    </w:p>
    <w:p w14:paraId="44C91F70">
      <w:pPr>
        <w:spacing w:line="600" w:lineRule="exact"/>
        <w:jc w:val="center"/>
        <w:rPr>
          <w:rFonts w:ascii="Times New Roman" w:hAnsi="Times New Roman" w:eastAsia="方正小标宋_GBK"/>
          <w:sz w:val="36"/>
          <w:szCs w:val="36"/>
        </w:rPr>
      </w:pPr>
    </w:p>
    <w:p w14:paraId="5BEBA130">
      <w:pPr>
        <w:spacing w:line="600" w:lineRule="exact"/>
        <w:jc w:val="center"/>
        <w:rPr>
          <w:rFonts w:ascii="Times New Roman" w:hAnsi="Times New Roman" w:eastAsia="方正小标宋_GBK"/>
          <w:sz w:val="36"/>
          <w:szCs w:val="36"/>
        </w:rPr>
      </w:pPr>
    </w:p>
    <w:p w14:paraId="0B066F79">
      <w:pPr>
        <w:spacing w:line="600" w:lineRule="exact"/>
        <w:jc w:val="center"/>
        <w:rPr>
          <w:rFonts w:ascii="Times New Roman" w:hAnsi="Times New Roman" w:eastAsia="方正小标宋_GBK"/>
          <w:sz w:val="36"/>
          <w:szCs w:val="36"/>
        </w:rPr>
      </w:pPr>
    </w:p>
    <w:p w14:paraId="6091D9A7">
      <w:pPr>
        <w:pStyle w:val="8"/>
        <w:rPr>
          <w:rFonts w:ascii="Times New Roman" w:hAnsi="Times New Roman" w:eastAsia="方正小标宋_GBK"/>
          <w:sz w:val="36"/>
          <w:szCs w:val="36"/>
        </w:rPr>
      </w:pPr>
    </w:p>
    <w:p w14:paraId="234AD37B">
      <w:pPr>
        <w:pStyle w:val="4"/>
        <w:rPr>
          <w:rFonts w:ascii="Times New Roman" w:hAnsi="Times New Roman" w:eastAsia="方正小标宋_GBK"/>
          <w:sz w:val="36"/>
          <w:szCs w:val="36"/>
        </w:rPr>
      </w:pPr>
    </w:p>
    <w:p w14:paraId="229A9594">
      <w:pPr>
        <w:rPr>
          <w:rFonts w:ascii="Times New Roman" w:hAnsi="Times New Roman" w:eastAsia="方正小标宋_GBK"/>
          <w:sz w:val="36"/>
          <w:szCs w:val="36"/>
        </w:rPr>
      </w:pPr>
    </w:p>
    <w:p w14:paraId="6FA2F136">
      <w:pPr>
        <w:pStyle w:val="8"/>
        <w:rPr>
          <w:rFonts w:ascii="Times New Roman" w:hAnsi="Times New Roman" w:eastAsia="方正小标宋_GBK"/>
          <w:sz w:val="36"/>
          <w:szCs w:val="36"/>
        </w:rPr>
      </w:pPr>
    </w:p>
    <w:p w14:paraId="3D99E380">
      <w:pPr>
        <w:pStyle w:val="4"/>
        <w:rPr>
          <w:rFonts w:ascii="Times New Roman" w:hAnsi="Times New Roman" w:eastAsia="方正小标宋_GBK"/>
          <w:sz w:val="36"/>
          <w:szCs w:val="36"/>
        </w:rPr>
      </w:pPr>
    </w:p>
    <w:p w14:paraId="0122927C">
      <w:pPr>
        <w:rPr>
          <w:rFonts w:ascii="Times New Roman" w:hAnsi="Times New Roman" w:eastAsia="方正小标宋_GBK"/>
          <w:sz w:val="36"/>
          <w:szCs w:val="36"/>
        </w:rPr>
      </w:pPr>
    </w:p>
    <w:p w14:paraId="5A615A29">
      <w:pPr>
        <w:pStyle w:val="8"/>
        <w:rPr>
          <w:rFonts w:ascii="Times New Roman" w:hAnsi="Times New Roman" w:eastAsia="方正小标宋_GBK"/>
          <w:sz w:val="36"/>
          <w:szCs w:val="36"/>
        </w:rPr>
      </w:pPr>
    </w:p>
    <w:p w14:paraId="1C4D91C5">
      <w:pPr>
        <w:pStyle w:val="4"/>
        <w:rPr>
          <w:rFonts w:ascii="Times New Roman" w:hAnsi="Times New Roman" w:eastAsia="方正小标宋_GBK"/>
          <w:sz w:val="36"/>
          <w:szCs w:val="36"/>
        </w:rPr>
      </w:pPr>
    </w:p>
    <w:p w14:paraId="5C673947">
      <w:pPr>
        <w:rPr>
          <w:rFonts w:ascii="Times New Roman" w:hAnsi="Times New Roman" w:eastAsia="方正小标宋_GBK"/>
          <w:sz w:val="36"/>
          <w:szCs w:val="36"/>
        </w:rPr>
      </w:pPr>
    </w:p>
    <w:p w14:paraId="6AE27C49">
      <w:pPr>
        <w:pStyle w:val="8"/>
        <w:rPr>
          <w:rFonts w:ascii="Times New Roman" w:hAnsi="Times New Roman" w:eastAsia="方正小标宋_GBK"/>
          <w:sz w:val="36"/>
          <w:szCs w:val="36"/>
        </w:rPr>
      </w:pPr>
    </w:p>
    <w:p w14:paraId="74DDB6CA">
      <w:pPr>
        <w:pStyle w:val="4"/>
        <w:rPr>
          <w:rFonts w:ascii="Times New Roman" w:hAnsi="Times New Roman" w:eastAsia="方正小标宋_GBK"/>
          <w:sz w:val="36"/>
          <w:szCs w:val="36"/>
        </w:rPr>
      </w:pPr>
    </w:p>
    <w:p w14:paraId="6FC47BE6">
      <w:pPr>
        <w:rPr>
          <w:rFonts w:ascii="Times New Roman" w:hAnsi="Times New Roman" w:eastAsia="方正小标宋_GBK"/>
          <w:sz w:val="36"/>
          <w:szCs w:val="36"/>
        </w:rPr>
      </w:pPr>
    </w:p>
    <w:p w14:paraId="236C2704">
      <w:pPr>
        <w:pStyle w:val="8"/>
        <w:rPr>
          <w:rFonts w:ascii="Times New Roman" w:hAnsi="Times New Roman" w:eastAsia="方正小标宋_GBK"/>
          <w:sz w:val="36"/>
          <w:szCs w:val="36"/>
        </w:rPr>
      </w:pPr>
    </w:p>
    <w:p w14:paraId="179433B3">
      <w:pPr>
        <w:pStyle w:val="4"/>
        <w:rPr>
          <w:rFonts w:ascii="Times New Roman" w:hAnsi="Times New Roman" w:eastAsia="方正小标宋_GBK"/>
          <w:sz w:val="36"/>
          <w:szCs w:val="36"/>
        </w:rPr>
      </w:pPr>
    </w:p>
    <w:p w14:paraId="5FA5E140">
      <w:pPr>
        <w:rPr>
          <w:rFonts w:ascii="Times New Roman" w:hAnsi="Times New Roman" w:eastAsia="方正小标宋_GBK"/>
          <w:sz w:val="36"/>
          <w:szCs w:val="36"/>
        </w:rPr>
      </w:pPr>
    </w:p>
    <w:p w14:paraId="70ABAD7D">
      <w:pPr>
        <w:pStyle w:val="8"/>
        <w:rPr>
          <w:rFonts w:ascii="Times New Roman" w:hAnsi="Times New Roman" w:eastAsia="方正小标宋_GBK"/>
          <w:sz w:val="36"/>
          <w:szCs w:val="36"/>
        </w:rPr>
      </w:pPr>
    </w:p>
    <w:p w14:paraId="47045572">
      <w:pPr>
        <w:pStyle w:val="4"/>
        <w:rPr>
          <w:rFonts w:ascii="Times New Roman" w:hAnsi="Times New Roman" w:eastAsia="方正小标宋_GBK"/>
          <w:sz w:val="36"/>
          <w:szCs w:val="36"/>
        </w:rPr>
      </w:pPr>
    </w:p>
    <w:p w14:paraId="4DB9ACE2">
      <w:pPr>
        <w:rPr>
          <w:rFonts w:ascii="Times New Roman" w:hAnsi="Times New Roman" w:eastAsia="方正小标宋_GBK"/>
          <w:sz w:val="36"/>
          <w:szCs w:val="36"/>
        </w:rPr>
      </w:pPr>
    </w:p>
    <w:p w14:paraId="3FD9C17C">
      <w:pPr>
        <w:pStyle w:val="8"/>
        <w:rPr>
          <w:rFonts w:ascii="Times New Roman" w:hAnsi="Times New Roman" w:eastAsia="方正小标宋_GBK"/>
          <w:sz w:val="36"/>
          <w:szCs w:val="36"/>
        </w:rPr>
      </w:pPr>
    </w:p>
    <w:p w14:paraId="22DCCE3A">
      <w:pPr>
        <w:pStyle w:val="4"/>
        <w:rPr>
          <w:rFonts w:ascii="Times New Roman" w:hAnsi="Times New Roman" w:eastAsia="方正小标宋_GBK"/>
          <w:sz w:val="36"/>
          <w:szCs w:val="36"/>
        </w:rPr>
      </w:pPr>
    </w:p>
    <w:p w14:paraId="37612CAA">
      <w:pPr>
        <w:rPr>
          <w:rFonts w:ascii="Times New Roman" w:hAnsi="Times New Roman" w:eastAsia="方正小标宋_GBK"/>
          <w:sz w:val="36"/>
          <w:szCs w:val="36"/>
        </w:rPr>
      </w:pPr>
    </w:p>
    <w:p w14:paraId="7A1B8CBB">
      <w:pPr>
        <w:spacing w:line="600" w:lineRule="exact"/>
        <w:rPr>
          <w:rFonts w:ascii="Times New Roman" w:hAnsi="Times New Roman" w:eastAsia="方正小标宋_GBK"/>
          <w:sz w:val="36"/>
          <w:szCs w:val="36"/>
        </w:rPr>
      </w:pPr>
    </w:p>
    <w:p w14:paraId="397834C6">
      <w:pPr>
        <w:spacing w:line="60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项目支出绩效自评报告</w:t>
      </w:r>
    </w:p>
    <w:p w14:paraId="79093E5C">
      <w:pPr>
        <w:adjustRightInd w:val="0"/>
        <w:spacing w:line="600" w:lineRule="exact"/>
        <w:ind w:right="641"/>
        <w:rPr>
          <w:rFonts w:hint="default" w:ascii="Times New Roman" w:hAnsi="Times New Roman" w:eastAsia="仿宋_GB2312"/>
          <w:sz w:val="32"/>
          <w:szCs w:val="32"/>
          <w:lang w:val="en-US" w:eastAsia="zh-CN"/>
        </w:rPr>
      </w:pPr>
      <w:r>
        <w:rPr>
          <w:rFonts w:hint="eastAsia" w:ascii="Times New Roman" w:hAnsi="Times New Roman" w:eastAsia="楷体_GB2312"/>
          <w:sz w:val="32"/>
          <w:szCs w:val="32"/>
          <w:lang w:val="en-US" w:eastAsia="zh-CN"/>
        </w:rPr>
        <w:t xml:space="preserve">  </w:t>
      </w:r>
    </w:p>
    <w:p w14:paraId="2254D653">
      <w:pPr>
        <w:adjustRightInd w:val="0"/>
        <w:snapToGrid w:val="0"/>
        <w:spacing w:line="600" w:lineRule="exact"/>
        <w:ind w:firstLine="640" w:firstLineChars="200"/>
        <w:rPr>
          <w:rFonts w:ascii="Times New Roman" w:hAnsi="Times New Roman" w:eastAsia="黑体"/>
          <w:sz w:val="32"/>
          <w:szCs w:val="32"/>
        </w:rPr>
      </w:pPr>
      <w:r>
        <w:rPr>
          <w:rFonts w:ascii="Times New Roman" w:hAnsi="Times New Roman" w:eastAsia="黑体"/>
          <w:sz w:val="32"/>
          <w:szCs w:val="32"/>
        </w:rPr>
        <w:t>一、项目支出概况</w:t>
      </w:r>
    </w:p>
    <w:p w14:paraId="5D0C342C">
      <w:pPr>
        <w:adjustRightInd w:val="0"/>
        <w:snapToGrid w:val="0"/>
        <w:spacing w:line="60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（一）项目实施单位基本情况。</w:t>
      </w:r>
    </w:p>
    <w:p w14:paraId="716F1F43">
      <w:pPr>
        <w:adjustRightInd w:val="0"/>
        <w:snapToGrid w:val="0"/>
        <w:spacing w:line="60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衡阳市审计局为衡阳市人民政府组成部门，设有办公室、行政科、法规审理科、财政审计一科等24个内设机构，另有下属参照公务员管理的公益一类副处级事业单位衡阳市审计服务中心。</w:t>
      </w:r>
    </w:p>
    <w:p w14:paraId="4BC7F61E">
      <w:pPr>
        <w:adjustRightInd w:val="0"/>
        <w:snapToGrid w:val="0"/>
        <w:spacing w:line="60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（二）项目资金基本情况。</w:t>
      </w:r>
    </w:p>
    <w:p w14:paraId="68E8930D">
      <w:pPr>
        <w:adjustRightInd w:val="0"/>
        <w:snapToGrid w:val="0"/>
        <w:spacing w:line="60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衡阳市审计局</w:t>
      </w:r>
      <w:r>
        <w:rPr>
          <w:rFonts w:hint="default" w:ascii="仿宋_GB2312" w:hAnsi="仿宋_GB2312" w:eastAsia="仿宋_GB2312" w:cs="仿宋_GB2312"/>
          <w:sz w:val="32"/>
          <w:szCs w:val="32"/>
          <w:lang w:val="en-US" w:eastAsia="zh-CN"/>
        </w:rPr>
        <w:t>202</w:t>
      </w:r>
      <w:r>
        <w:rPr>
          <w:rFonts w:hint="eastAsia" w:ascii="仿宋_GB2312" w:hAnsi="仿宋_GB2312" w:eastAsia="仿宋_GB2312" w:cs="仿宋_GB2312"/>
          <w:sz w:val="32"/>
          <w:szCs w:val="32"/>
          <w:lang w:val="en-US" w:eastAsia="zh-CN"/>
        </w:rPr>
        <w:t>4年度其他审计综合事务经费年初预算882万元，实际支出445.93万元，主要用于开展</w:t>
      </w:r>
      <w:r>
        <w:rPr>
          <w:rFonts w:hint="eastAsia" w:ascii="仿宋_GB2312" w:hAnsi="仿宋_GB2312" w:eastAsia="仿宋_GB2312" w:cs="仿宋_GB2312"/>
          <w:sz w:val="32"/>
          <w:szCs w:val="32"/>
          <w:lang w:eastAsia="zh-CN"/>
        </w:rPr>
        <w:t>财政财务收支、国有企业、专项资金、政府投资等审计相关</w:t>
      </w:r>
      <w:r>
        <w:rPr>
          <w:rFonts w:hint="eastAsia" w:ascii="仿宋_GB2312" w:hAnsi="仿宋_GB2312" w:eastAsia="仿宋_GB2312" w:cs="仿宋_GB2312"/>
          <w:sz w:val="32"/>
          <w:szCs w:val="32"/>
          <w:lang w:val="en-US" w:eastAsia="zh-CN"/>
        </w:rPr>
        <w:t>工作，包括开展审计工作所必需的各类开支。</w:t>
      </w:r>
    </w:p>
    <w:p w14:paraId="3CDDD2C2">
      <w:pPr>
        <w:adjustRightInd w:val="0"/>
        <w:snapToGrid w:val="0"/>
        <w:spacing w:line="60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（三）预算资金绩效目标。</w:t>
      </w:r>
    </w:p>
    <w:p w14:paraId="32122C35">
      <w:pPr>
        <w:adjustRightInd w:val="0"/>
        <w:snapToGrid w:val="0"/>
        <w:spacing w:line="60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市审计局其他审计综合事务经费项目支出绩效目标为完成</w:t>
      </w:r>
      <w:r>
        <w:rPr>
          <w:rFonts w:hint="eastAsia" w:ascii="仿宋_GB2312" w:hAnsi="仿宋_GB2312" w:eastAsia="仿宋_GB2312" w:cs="仿宋_GB2312"/>
          <w:sz w:val="32"/>
          <w:szCs w:val="32"/>
          <w:lang w:val="en-US" w:eastAsia="zh-CN"/>
        </w:rPr>
        <w:t>2024年度计划的</w:t>
      </w:r>
      <w:r>
        <w:rPr>
          <w:rFonts w:hint="eastAsia" w:ascii="仿宋_GB2312" w:hAnsi="仿宋_GB2312" w:eastAsia="仿宋_GB2312" w:cs="仿宋_GB2312"/>
          <w:sz w:val="32"/>
          <w:szCs w:val="32"/>
          <w:lang w:eastAsia="zh-CN"/>
        </w:rPr>
        <w:t>财政审计、国资国企审计、财务收支审计、政府投资审计及专项审计和审计调查等</w:t>
      </w:r>
      <w:r>
        <w:rPr>
          <w:rFonts w:hint="eastAsia" w:ascii="仿宋_GB2312" w:hAnsi="仿宋_GB2312" w:eastAsia="仿宋_GB2312" w:cs="仿宋_GB2312"/>
          <w:sz w:val="32"/>
          <w:szCs w:val="32"/>
          <w:lang w:val="en-US" w:eastAsia="zh-CN"/>
        </w:rPr>
        <w:t>87个审计</w:t>
      </w:r>
      <w:r>
        <w:rPr>
          <w:rFonts w:hint="eastAsia" w:ascii="仿宋_GB2312" w:hAnsi="仿宋_GB2312" w:eastAsia="仿宋_GB2312" w:cs="仿宋_GB2312"/>
          <w:sz w:val="32"/>
          <w:szCs w:val="32"/>
          <w:lang w:eastAsia="zh-CN"/>
        </w:rPr>
        <w:t>项目，同时完成审计署、省审计厅统一安排审计项目和市委、市政府临时交办项目等。着力聚焦重点工程项目、区域协调发展、重点领域深化改革、风险防范、生态文明建设、保障和改善民生等方面，以有力有效的审计监督服务保障发展大局。</w:t>
      </w:r>
    </w:p>
    <w:p w14:paraId="286FAE64">
      <w:pPr>
        <w:adjustRightInd w:val="0"/>
        <w:snapToGrid w:val="0"/>
        <w:spacing w:line="600" w:lineRule="exact"/>
        <w:ind w:firstLine="640" w:firstLineChars="200"/>
        <w:rPr>
          <w:rFonts w:ascii="Times New Roman" w:hAnsi="Times New Roman" w:eastAsia="黑体"/>
          <w:sz w:val="32"/>
          <w:szCs w:val="32"/>
        </w:rPr>
      </w:pPr>
      <w:r>
        <w:rPr>
          <w:rFonts w:ascii="Times New Roman" w:hAnsi="Times New Roman" w:eastAsia="黑体"/>
          <w:sz w:val="32"/>
          <w:szCs w:val="32"/>
        </w:rPr>
        <w:t>二、</w:t>
      </w:r>
      <w:r>
        <w:rPr>
          <w:rFonts w:hint="eastAsia" w:ascii="Times New Roman" w:hAnsi="宋体" w:eastAsia="黑体" w:cs="黑体"/>
          <w:kern w:val="2"/>
          <w:sz w:val="32"/>
          <w:szCs w:val="32"/>
          <w:lang w:val="en-US" w:eastAsia="zh-CN" w:bidi="ar"/>
        </w:rPr>
        <w:t>项目支出主要绩效及评价结论</w:t>
      </w:r>
    </w:p>
    <w:p w14:paraId="0E5AF8E8">
      <w:pPr>
        <w:adjustRightInd w:val="0"/>
        <w:snapToGrid w:val="0"/>
        <w:spacing w:line="60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2024年，市本级实施审计项目121个（含跨年项目），审计查出主要问题金额共118.69亿元，促进增收节支20.42亿元，促进被审计单位建立健全规章制度103项。同时圆满完成了市委、市政府及上级审计机关交办的各项临时任务。市委书记在市委审计委员会会议上充分肯定审计工作，给予“审计机关积极履职、担当作为”的评价。市长批示肯定“审计工作很有成效，为推动衡阳高质量发展贡献了力量”。</w:t>
      </w:r>
    </w:p>
    <w:p w14:paraId="0786E5A0">
      <w:pPr>
        <w:adjustRightInd w:val="0"/>
        <w:snapToGrid w:val="0"/>
        <w:spacing w:line="60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一）推动重点任务落实。紧紧围绕省审计厅工作安排和市委市政府中心工作，充分发挥审计监督职能作用。采取“以上带下、上下联动”工作机制对公安、教育、卫健、水利、交警五个行业开展专项审计，揭示五个行业存在的体制机制管理方面的突出问题，推进行业健康发展。对威马项目开展审计调查，有效维护政府权益，得到市委书记的高度肯定。聚焦市委市政府“文旅兴城”战略部署，在筹备省第三届旅发大会期间，针对全市范围内政府投资的旅发大会观摩项目资金管理使用、项目建设及绩效、办会办展等情况开展专项审计调查，有效防范了项目建设形象工程、“半拉子工程”。</w:t>
      </w:r>
    </w:p>
    <w:p w14:paraId="0E78D661">
      <w:pPr>
        <w:adjustRightInd w:val="0"/>
        <w:snapToGrid w:val="0"/>
        <w:spacing w:line="60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二）推动经济高质量发展。聚焦财政财务收支真实合法效益，从项目和资金入手，做实常态化“经济体检”。对全市财政奖补资金使用绩效情况进行专项审计调查，加强资金使用效益。组织实施市本级预算执行情况审计，对13个市直部门预算执行和其他财政财务收支情况进行审计，对1个城区政府财政决算进行审计，并运用大数据对市本级预算单位公共资金使用情况实现审计全覆盖。起草了《2023年度市本级预算执行审计发现需关注问题清单》，并在市政府性债务管理工作领导小组会议上进行专题汇报，着重反映了支出管理不合规、履行监管职责存在薄弱环节等问题。市县财政积极整改，已确认收入并上缴国库6.87亿元，归还原资金渠道1.9亿元，盘活使用或统筹纳入预算管理12.87亿元；建立健全制度45项；已立案调查14人次，给予党纪政纪处分19人次，诫勉谈话、通报批评等68人次。</w:t>
      </w:r>
    </w:p>
    <w:p w14:paraId="10073A30">
      <w:pPr>
        <w:adjustRightInd w:val="0"/>
        <w:snapToGrid w:val="0"/>
        <w:spacing w:line="60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三）推动办好民生实事。深入践行以人民为中心的发展思想，紧紧围绕民生热点问题，加大民生资金审计力度。根据省定和市定计划，组织对社保基金和国债资金、农村义务教育营养改善、全市水利行业暨国省水利建设、非营利性民办学校、市城区物业专项维修等5大类资金和项目进行审计，以及国外贷援款涉及我市的7个项目开展审计，着力揭示民生资金被挤占挪用和虚报套取等问题，促进了维护民生民利。在农村义务教育营养改善计划专项资金审计中，重点关注了相关政策措施落实、专项资金管理使用及供餐管理等情况，审计移送问题线索8起。在全市水利行业暨国省水利建设专项资金专项审计调查中，重点关注了专项资金管理使用、农村供水保障、库区移民后期扶持等情况，审计移送问题线索6起。</w:t>
      </w:r>
    </w:p>
    <w:p w14:paraId="359686C0">
      <w:pPr>
        <w:adjustRightInd w:val="0"/>
        <w:snapToGrid w:val="0"/>
        <w:spacing w:line="60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四）推动投资安全高效。为落实好统筹发展与安全，充分发挥经济运行的“探头”作用，及时揭示和反映各类苗头性、倾向性问题，防止形成区域性、系统性风险隐患。开展政府投资审计，组织对高新区征地拆迁安置项目资金管理使用情况、茶常高速公路项目衡阳段征地拆迁补偿安置经费进行跟踪审计，对阳光小学、安全生产培训基地等工程项目进行审计，反映了概算编制不精准、报建程序不规范、工程建设监管不严等问题，全年共审减政府投资造价3781.42万元。开展了市政府投资项目结算金额超合同金额10%以上情况专项审计调查，对24个建设项目的工程变更事项进行原因分析和责任甄别。组织起草了《全市县级政府投资项目（含PPP）审计情况》专报，获得市委市政府主要领导的肯定性批示。</w:t>
      </w:r>
    </w:p>
    <w:p w14:paraId="5FB7762F">
      <w:pPr>
        <w:adjustRightInd w:val="0"/>
        <w:snapToGrid w:val="0"/>
        <w:spacing w:line="60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五）推动国企顺利改革。争做国资国企改革发展的守护者，助力推动国有经济布局优化和结构调整。组织对市直国有文艺院团进行审计，重点关注院团经营、人员保障等情况，此综合报告得到市委市政府主要领导“成果明显”等高度肯定，有效推动我市国有文艺院团改革。对白沙绿岛产业园投资及履约情况进行审计，促进项目顺利移交，有力推动白沙绿岛公司转型和公司改革发展。组织对国资委监管的2家国企开展资产管理状况专项审计，1家国企运营情况开展审计，推动市属国有企业进一步聚焦主责主业、防范经营风险。</w:t>
      </w:r>
    </w:p>
    <w:p w14:paraId="65AA45E0">
      <w:pPr>
        <w:adjustRightInd w:val="0"/>
        <w:snapToGrid w:val="0"/>
        <w:spacing w:line="60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六）推动权力规范运行。充分发挥审计在反腐治乱方面的重要作用，更好发挥审计在推进党的自我革命中的独特作用。扎实开展经济责任审计，对市行政审批服务局、市信访局、市公安局交警支队、市疾病预防控制中心、市第二十六中学等14个单位的16名主要负责人开展任期经济责任审计，促使领导规范履职、秉公用权。根据省审计厅安排，实施了临澧县党政主要领导干部经济责任审计与自然资源资产离任（任中）等审计，助推县域经济高质量发展。同时，注重加强分析和研判，根据审计中发现的领导干部履行经济责任存在的突出问题，形成综合分析报告报送市委，为加强干部监管提供了审计参考。</w:t>
      </w:r>
    </w:p>
    <w:p w14:paraId="72EC19F5">
      <w:pPr>
        <w:keepNext w:val="0"/>
        <w:keepLines w:val="0"/>
        <w:widowControl w:val="0"/>
        <w:suppressLineNumbers w:val="0"/>
        <w:autoSpaceDE w:val="0"/>
        <w:autoSpaceDN/>
        <w:spacing w:before="0" w:beforeAutospacing="0" w:after="0" w:afterAutospacing="0" w:line="560" w:lineRule="exact"/>
        <w:ind w:left="0" w:right="0" w:firstLine="640" w:firstLineChars="200"/>
        <w:jc w:val="both"/>
        <w:rPr>
          <w:rFonts w:hint="default" w:ascii="Times New Roman" w:hAnsi="Times New Roman" w:eastAsia="黑体" w:cs="Times New Roman"/>
          <w:sz w:val="32"/>
          <w:szCs w:val="32"/>
          <w:lang w:val="en-US"/>
        </w:rPr>
      </w:pPr>
      <w:r>
        <w:rPr>
          <w:rFonts w:hint="eastAsia" w:ascii="Times New Roman" w:hAnsi="宋体" w:eastAsia="黑体" w:cs="黑体"/>
          <w:kern w:val="2"/>
          <w:sz w:val="32"/>
          <w:szCs w:val="32"/>
          <w:lang w:val="en-US" w:eastAsia="zh-CN" w:bidi="ar"/>
        </w:rPr>
        <w:t>三、主要经验及做法</w:t>
      </w:r>
    </w:p>
    <w:p w14:paraId="2A751229">
      <w:pPr>
        <w:adjustRightInd w:val="0"/>
        <w:snapToGrid w:val="0"/>
        <w:spacing w:line="600"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市审计局紧紧围绕党委、政府中心工作，依据审计全覆盖要求，顺应审计事业发展趋势，结合以往审计情况，制定每年度审计项目计划，并报市委审计委员会审议通过后开始实施。每个审计项目均经过前期调查、下发审计通知书、审计实施、出具审计报告征求意见稿、被审计单位反馈意见、审理、召开审计业务会、出具正式审计报告及相关审计文书、审计整改等严格的审计程序。相关项目经费支出均需有审计通知书或相关工作文件作为依据、与审计业务开展事实相关方可经过财务审核程序进行列支。市审计局秉持厉行节约原则，积极响应财政部门压减项目支出预算的要求，持之以恒严控经费开支。</w:t>
      </w:r>
    </w:p>
    <w:p w14:paraId="6F38BB7F">
      <w:pPr>
        <w:adjustRightInd w:val="0"/>
        <w:snapToGrid w:val="0"/>
        <w:spacing w:line="600" w:lineRule="exact"/>
        <w:ind w:firstLine="640" w:firstLineChars="200"/>
        <w:rPr>
          <w:rFonts w:ascii="Times New Roman" w:hAnsi="Times New Roman" w:eastAsia="黑体"/>
          <w:sz w:val="32"/>
          <w:szCs w:val="32"/>
        </w:rPr>
      </w:pPr>
      <w:r>
        <w:rPr>
          <w:rFonts w:hint="eastAsia" w:ascii="Times New Roman" w:hAnsi="Times New Roman" w:eastAsia="黑体"/>
          <w:sz w:val="32"/>
          <w:szCs w:val="32"/>
          <w:lang w:eastAsia="zh-CN"/>
        </w:rPr>
        <w:t>四</w:t>
      </w:r>
      <w:r>
        <w:rPr>
          <w:rFonts w:ascii="Times New Roman" w:hAnsi="Times New Roman" w:eastAsia="黑体"/>
          <w:sz w:val="32"/>
          <w:szCs w:val="32"/>
        </w:rPr>
        <w:t>、存在的问题及原因分析</w:t>
      </w:r>
    </w:p>
    <w:p w14:paraId="1302BC1A">
      <w:pPr>
        <w:adjustRightInd w:val="0"/>
        <w:snapToGrid w:val="0"/>
        <w:spacing w:line="60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一是预算执行率偏低，主要原因是“金审三期”项目因省审计厅统一安排本年暂未实施造成年末项目资金结余较大；</w:t>
      </w:r>
    </w:p>
    <w:p w14:paraId="40A5122D">
      <w:pPr>
        <w:adjustRightInd w:val="0"/>
        <w:snapToGrid w:val="0"/>
        <w:spacing w:line="60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二是</w:t>
      </w:r>
      <w:r>
        <w:rPr>
          <w:rFonts w:hint="eastAsia" w:ascii="仿宋_GB2312" w:hAnsi="仿宋_GB2312" w:eastAsia="仿宋_GB2312" w:cs="仿宋_GB2312"/>
          <w:sz w:val="32"/>
          <w:szCs w:val="32"/>
          <w:lang w:eastAsia="zh-CN"/>
        </w:rPr>
        <w:t>审计项目年初计划需经审计委员会审议通过方可开展实施，而市委审计委员会通常需等中央及省委审计委员会结束后方可召开，因此审计项目周期一般开始于当年</w:t>
      </w:r>
      <w:r>
        <w:rPr>
          <w:rFonts w:hint="eastAsia" w:ascii="仿宋_GB2312" w:hAnsi="仿宋_GB2312" w:eastAsia="仿宋_GB2312" w:cs="仿宋_GB2312"/>
          <w:sz w:val="32"/>
          <w:szCs w:val="32"/>
          <w:lang w:val="en-US" w:eastAsia="zh-CN"/>
        </w:rPr>
        <w:t>3月，结束于次年2月，这与财政支出绩效评价的自然年周期存在差异。</w:t>
      </w:r>
    </w:p>
    <w:p w14:paraId="2C8F0636">
      <w:pPr>
        <w:adjustRightInd w:val="0"/>
        <w:snapToGrid w:val="0"/>
        <w:spacing w:line="600" w:lineRule="exact"/>
        <w:ind w:firstLine="640" w:firstLineChars="200"/>
        <w:rPr>
          <w:rFonts w:hint="eastAsia" w:ascii="Times New Roman" w:hAnsi="Times New Roman" w:eastAsia="黑体"/>
          <w:sz w:val="32"/>
          <w:szCs w:val="32"/>
          <w:lang w:eastAsia="zh-CN"/>
        </w:rPr>
      </w:pPr>
      <w:r>
        <w:rPr>
          <w:rFonts w:hint="eastAsia" w:ascii="Times New Roman" w:hAnsi="Times New Roman" w:eastAsia="黑体"/>
          <w:sz w:val="32"/>
          <w:szCs w:val="32"/>
          <w:lang w:eastAsia="zh-CN"/>
        </w:rPr>
        <w:t>五</w:t>
      </w:r>
      <w:r>
        <w:rPr>
          <w:rFonts w:ascii="Times New Roman" w:hAnsi="Times New Roman" w:eastAsia="黑体"/>
          <w:sz w:val="32"/>
          <w:szCs w:val="32"/>
        </w:rPr>
        <w:t>、</w:t>
      </w:r>
      <w:r>
        <w:rPr>
          <w:rFonts w:hint="eastAsia" w:ascii="Times New Roman" w:hAnsi="Times New Roman" w:eastAsia="黑体"/>
          <w:sz w:val="32"/>
          <w:szCs w:val="32"/>
          <w:lang w:eastAsia="zh-CN"/>
        </w:rPr>
        <w:t>下一步改进措施</w:t>
      </w:r>
    </w:p>
    <w:p w14:paraId="7CAA5B1E">
      <w:pPr>
        <w:adjustRightInd w:val="0"/>
        <w:snapToGrid w:val="0"/>
        <w:spacing w:line="60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我单位将密切关注省审计厅关于“金审三期”项目建设要求，严格按照相关规定及时推动项目建设，进一步提高资金使用效益。同时继续把绩效监控工作作为加强自身财务建设，提高财政资金使用效益的重要手段，积极探索建立适合单位实际情况的绩效运行监控管理机制，不断积累经验，完善管理机制，督促预算绩效目标的实现。</w:t>
      </w:r>
    </w:p>
    <w:p w14:paraId="3CD9A82E">
      <w:pPr>
        <w:adjustRightInd w:val="0"/>
        <w:snapToGrid w:val="0"/>
        <w:spacing w:line="600" w:lineRule="exact"/>
        <w:ind w:firstLine="640" w:firstLineChars="200"/>
        <w:rPr>
          <w:rFonts w:ascii="Times New Roman" w:hAnsi="Times New Roman" w:eastAsia="黑体"/>
          <w:sz w:val="32"/>
          <w:szCs w:val="32"/>
        </w:rPr>
      </w:pPr>
      <w:r>
        <w:rPr>
          <w:rFonts w:hint="eastAsia" w:ascii="Times New Roman" w:hAnsi="Times New Roman" w:eastAsia="黑体"/>
          <w:sz w:val="32"/>
          <w:szCs w:val="32"/>
          <w:lang w:eastAsia="zh-CN"/>
        </w:rPr>
        <w:t>六</w:t>
      </w:r>
      <w:r>
        <w:rPr>
          <w:rFonts w:ascii="Times New Roman" w:hAnsi="Times New Roman" w:eastAsia="黑体"/>
          <w:sz w:val="32"/>
          <w:szCs w:val="32"/>
        </w:rPr>
        <w:t>、其他需要说明的问题</w:t>
      </w:r>
    </w:p>
    <w:p w14:paraId="3A62A254">
      <w:pPr>
        <w:keepNext w:val="0"/>
        <w:keepLines w:val="0"/>
        <w:widowControl w:val="0"/>
        <w:suppressLineNumbers w:val="0"/>
        <w:autoSpaceDE w:val="0"/>
        <w:autoSpaceDN/>
        <w:spacing w:before="0" w:beforeAutospacing="0" w:after="0" w:afterAutospacing="0" w:line="560" w:lineRule="exact"/>
        <w:ind w:left="0" w:right="0" w:firstLine="640" w:firstLineChars="200"/>
        <w:jc w:val="both"/>
        <w:rPr>
          <w:rFonts w:hint="eastAsia" w:ascii="仿宋_GB2312" w:hAnsi="仿宋_GB2312" w:eastAsia="仿宋_GB2312" w:cs="仿宋_GB2312"/>
          <w:kern w:val="2"/>
          <w:sz w:val="32"/>
          <w:szCs w:val="32"/>
          <w:lang w:val="en-US" w:eastAsia="zh-CN" w:bidi="ar"/>
        </w:rPr>
      </w:pPr>
      <w:r>
        <w:rPr>
          <w:rFonts w:hint="eastAsia" w:ascii="仿宋_GB2312" w:hAnsi="仿宋_GB2312" w:eastAsia="仿宋_GB2312" w:cs="仿宋_GB2312"/>
          <w:kern w:val="0"/>
          <w:sz w:val="32"/>
          <w:szCs w:val="32"/>
          <w:lang w:val="en-US" w:eastAsia="zh-CN"/>
        </w:rPr>
        <w:t>无</w:t>
      </w:r>
      <w:r>
        <w:rPr>
          <w:rFonts w:hint="eastAsia" w:ascii="仿宋_GB2312" w:hAnsi="仿宋_GB2312" w:eastAsia="仿宋_GB2312" w:cs="仿宋_GB2312"/>
          <w:kern w:val="2"/>
          <w:sz w:val="32"/>
          <w:szCs w:val="32"/>
          <w:lang w:val="en-US" w:eastAsia="zh-CN" w:bidi="ar"/>
        </w:rPr>
        <w:t>。</w:t>
      </w:r>
    </w:p>
    <w:p w14:paraId="14CA11F5">
      <w:pPr>
        <w:keepNext w:val="0"/>
        <w:keepLines w:val="0"/>
        <w:widowControl w:val="0"/>
        <w:suppressLineNumbers w:val="0"/>
        <w:autoSpaceDE w:val="0"/>
        <w:autoSpaceDN/>
        <w:spacing w:before="0" w:beforeAutospacing="0" w:after="0" w:afterAutospacing="0" w:line="560" w:lineRule="exact"/>
        <w:ind w:left="0" w:right="0" w:firstLine="640" w:firstLineChars="200"/>
        <w:jc w:val="both"/>
        <w:rPr>
          <w:rFonts w:hint="default" w:ascii="Times New Roman" w:hAnsi="Times New Roman" w:eastAsia="仿宋_GB2312" w:cs="Times New Roman"/>
          <w:sz w:val="32"/>
          <w:szCs w:val="32"/>
          <w:lang w:val="en-US"/>
        </w:rPr>
      </w:pPr>
    </w:p>
    <w:p w14:paraId="7302CDE7">
      <w:pPr>
        <w:adjustRightInd w:val="0"/>
        <w:snapToGrid w:val="0"/>
        <w:spacing w:line="600" w:lineRule="exact"/>
        <w:rPr>
          <w:rFonts w:ascii="Times New Roman" w:hAnsi="Times New Roman" w:eastAsia="黑体"/>
          <w:sz w:val="32"/>
          <w:szCs w:val="32"/>
        </w:rPr>
      </w:pPr>
    </w:p>
    <w:sectPr>
      <w:footerReference r:id="rId3" w:type="default"/>
      <w:footerReference r:id="rId4" w:type="even"/>
      <w:pgSz w:w="11906" w:h="16838"/>
      <w:pgMar w:top="1440" w:right="1797" w:bottom="1440" w:left="1797" w:header="851" w:footer="992" w:gutter="0"/>
      <w:pgNumType w:fmt="numberInDash"/>
      <w:cols w:space="425" w:num="1"/>
      <w:titlePg/>
      <w:rtlGutter w:val="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黑体"/>
    <w:panose1 w:val="02000000000000000000"/>
    <w:charset w:val="86"/>
    <w:family w:val="auto"/>
    <w:pitch w:val="default"/>
    <w:sig w:usb0="00000000" w:usb1="00000000" w:usb2="00000012" w:usb3="00000000" w:csb0="00040001"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E7F407">
    <w:pPr>
      <w:pStyle w:val="6"/>
      <w:framePr w:wrap="around" w:vAnchor="text" w:hAnchor="margin" w:xAlign="outside" w:y="1"/>
      <w:rPr>
        <w:rStyle w:val="12"/>
        <w:rFonts w:ascii="Times New Roman" w:hAnsi="Times New Roman"/>
        <w:sz w:val="28"/>
        <w:szCs w:val="28"/>
      </w:rPr>
    </w:pPr>
    <w:r>
      <w:rPr>
        <w:rStyle w:val="12"/>
        <w:rFonts w:ascii="Times New Roman" w:hAnsi="Times New Roman"/>
        <w:sz w:val="28"/>
        <w:szCs w:val="28"/>
      </w:rPr>
      <w:fldChar w:fldCharType="begin"/>
    </w:r>
    <w:r>
      <w:rPr>
        <w:rStyle w:val="12"/>
        <w:rFonts w:ascii="Times New Roman" w:hAnsi="Times New Roman"/>
        <w:sz w:val="28"/>
        <w:szCs w:val="28"/>
      </w:rPr>
      <w:instrText xml:space="preserve">PAGE  </w:instrText>
    </w:r>
    <w:r>
      <w:rPr>
        <w:rStyle w:val="12"/>
        <w:rFonts w:ascii="Times New Roman" w:hAnsi="Times New Roman"/>
        <w:sz w:val="28"/>
        <w:szCs w:val="28"/>
      </w:rPr>
      <w:fldChar w:fldCharType="separate"/>
    </w:r>
    <w:r>
      <w:rPr>
        <w:rStyle w:val="12"/>
        <w:rFonts w:ascii="Times New Roman" w:hAnsi="Times New Roman"/>
        <w:sz w:val="28"/>
        <w:szCs w:val="28"/>
      </w:rPr>
      <w:t>- 15 -</w:t>
    </w:r>
    <w:r>
      <w:rPr>
        <w:rStyle w:val="12"/>
        <w:rFonts w:ascii="Times New Roman" w:hAnsi="Times New Roman"/>
        <w:sz w:val="28"/>
        <w:szCs w:val="28"/>
      </w:rPr>
      <w:fldChar w:fldCharType="end"/>
    </w:r>
  </w:p>
  <w:p w14:paraId="174BDFE7">
    <w:pPr>
      <w:pStyle w:val="6"/>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06135F">
    <w:pPr>
      <w:pStyle w:val="6"/>
      <w:framePr w:wrap="around" w:vAnchor="text" w:hAnchor="margin" w:xAlign="outside" w:y="1"/>
      <w:rPr>
        <w:rStyle w:val="12"/>
      </w:rPr>
    </w:pPr>
    <w:r>
      <w:rPr>
        <w:rStyle w:val="12"/>
      </w:rPr>
      <w:fldChar w:fldCharType="begin"/>
    </w:r>
    <w:r>
      <w:rPr>
        <w:rStyle w:val="12"/>
      </w:rPr>
      <w:instrText xml:space="preserve">PAGE  </w:instrText>
    </w:r>
    <w:r>
      <w:rPr>
        <w:rStyle w:val="12"/>
      </w:rPr>
      <w:fldChar w:fldCharType="end"/>
    </w:r>
  </w:p>
  <w:p w14:paraId="61188479">
    <w:pPr>
      <w:pStyle w:val="6"/>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NotTrackMoves/>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TM0ODA5MDU3NzA0OTliNzM3NzNlM2I0OWRjMjc2ZjMifQ=="/>
  </w:docVars>
  <w:rsids>
    <w:rsidRoot w:val="00C553EF"/>
    <w:rsid w:val="00012C93"/>
    <w:rsid w:val="000734E3"/>
    <w:rsid w:val="000773D5"/>
    <w:rsid w:val="00080625"/>
    <w:rsid w:val="00082293"/>
    <w:rsid w:val="00093B9D"/>
    <w:rsid w:val="00094646"/>
    <w:rsid w:val="000A561A"/>
    <w:rsid w:val="000D5E7F"/>
    <w:rsid w:val="000E2B59"/>
    <w:rsid w:val="000E2E9C"/>
    <w:rsid w:val="000F775C"/>
    <w:rsid w:val="00135131"/>
    <w:rsid w:val="00135395"/>
    <w:rsid w:val="00173AA9"/>
    <w:rsid w:val="00184AF2"/>
    <w:rsid w:val="001A7CAB"/>
    <w:rsid w:val="001B56F4"/>
    <w:rsid w:val="001B69B6"/>
    <w:rsid w:val="001B6D56"/>
    <w:rsid w:val="001C048E"/>
    <w:rsid w:val="00220A85"/>
    <w:rsid w:val="002238BB"/>
    <w:rsid w:val="00225BED"/>
    <w:rsid w:val="002320EB"/>
    <w:rsid w:val="002A03D6"/>
    <w:rsid w:val="002D01D7"/>
    <w:rsid w:val="002F05A3"/>
    <w:rsid w:val="003056F3"/>
    <w:rsid w:val="003126FC"/>
    <w:rsid w:val="00323CF3"/>
    <w:rsid w:val="0032533F"/>
    <w:rsid w:val="003A1408"/>
    <w:rsid w:val="003B7F5C"/>
    <w:rsid w:val="003E1FD6"/>
    <w:rsid w:val="003E5841"/>
    <w:rsid w:val="003F1540"/>
    <w:rsid w:val="004148E0"/>
    <w:rsid w:val="004217FE"/>
    <w:rsid w:val="00440BFE"/>
    <w:rsid w:val="00463FD5"/>
    <w:rsid w:val="00474AD0"/>
    <w:rsid w:val="00487AC5"/>
    <w:rsid w:val="00496F05"/>
    <w:rsid w:val="00537950"/>
    <w:rsid w:val="00551D43"/>
    <w:rsid w:val="00566BA9"/>
    <w:rsid w:val="005709FF"/>
    <w:rsid w:val="00581EEE"/>
    <w:rsid w:val="005851E9"/>
    <w:rsid w:val="00591495"/>
    <w:rsid w:val="00594AEE"/>
    <w:rsid w:val="005D031D"/>
    <w:rsid w:val="006264B7"/>
    <w:rsid w:val="00677EDD"/>
    <w:rsid w:val="006964D9"/>
    <w:rsid w:val="006F37DA"/>
    <w:rsid w:val="007109A0"/>
    <w:rsid w:val="007123D7"/>
    <w:rsid w:val="00713B58"/>
    <w:rsid w:val="00751BF0"/>
    <w:rsid w:val="00764972"/>
    <w:rsid w:val="00771B0E"/>
    <w:rsid w:val="007A6F2C"/>
    <w:rsid w:val="007B3731"/>
    <w:rsid w:val="007C3C5A"/>
    <w:rsid w:val="007E2D1B"/>
    <w:rsid w:val="007E3E71"/>
    <w:rsid w:val="008241E1"/>
    <w:rsid w:val="00835818"/>
    <w:rsid w:val="00847A3C"/>
    <w:rsid w:val="00893AEC"/>
    <w:rsid w:val="00940D4A"/>
    <w:rsid w:val="00971DB4"/>
    <w:rsid w:val="0097394E"/>
    <w:rsid w:val="009D0C0A"/>
    <w:rsid w:val="00A0127D"/>
    <w:rsid w:val="00A148B9"/>
    <w:rsid w:val="00A2187E"/>
    <w:rsid w:val="00A3605E"/>
    <w:rsid w:val="00A377C0"/>
    <w:rsid w:val="00A55C61"/>
    <w:rsid w:val="00A801F4"/>
    <w:rsid w:val="00AC12C1"/>
    <w:rsid w:val="00AC5F31"/>
    <w:rsid w:val="00AF15ED"/>
    <w:rsid w:val="00B049DD"/>
    <w:rsid w:val="00B17D23"/>
    <w:rsid w:val="00B62F82"/>
    <w:rsid w:val="00B702EE"/>
    <w:rsid w:val="00B86511"/>
    <w:rsid w:val="00B86BA1"/>
    <w:rsid w:val="00B9399A"/>
    <w:rsid w:val="00BD1721"/>
    <w:rsid w:val="00BD4955"/>
    <w:rsid w:val="00C23636"/>
    <w:rsid w:val="00C553EF"/>
    <w:rsid w:val="00C641BD"/>
    <w:rsid w:val="00C91F4C"/>
    <w:rsid w:val="00C9428C"/>
    <w:rsid w:val="00CC6012"/>
    <w:rsid w:val="00CD7E4E"/>
    <w:rsid w:val="00CE4DFE"/>
    <w:rsid w:val="00CF0AA7"/>
    <w:rsid w:val="00D64926"/>
    <w:rsid w:val="00D74987"/>
    <w:rsid w:val="00D812AD"/>
    <w:rsid w:val="00D8620A"/>
    <w:rsid w:val="00D90B2D"/>
    <w:rsid w:val="00DC7EE1"/>
    <w:rsid w:val="00DD4AA2"/>
    <w:rsid w:val="00DD5A15"/>
    <w:rsid w:val="00E01819"/>
    <w:rsid w:val="00E039BF"/>
    <w:rsid w:val="00E323CD"/>
    <w:rsid w:val="00E8571A"/>
    <w:rsid w:val="00E94B12"/>
    <w:rsid w:val="00EF0339"/>
    <w:rsid w:val="00F137EB"/>
    <w:rsid w:val="00F2080B"/>
    <w:rsid w:val="00F55DE1"/>
    <w:rsid w:val="00FA2BB2"/>
    <w:rsid w:val="00FC450D"/>
    <w:rsid w:val="00FD081E"/>
    <w:rsid w:val="00FE100B"/>
    <w:rsid w:val="00FE4826"/>
    <w:rsid w:val="01590320"/>
    <w:rsid w:val="028D58A7"/>
    <w:rsid w:val="03043E77"/>
    <w:rsid w:val="03764BA4"/>
    <w:rsid w:val="04B137A1"/>
    <w:rsid w:val="06EF4AB2"/>
    <w:rsid w:val="07C71168"/>
    <w:rsid w:val="091F3E81"/>
    <w:rsid w:val="09B41B2C"/>
    <w:rsid w:val="0A0D53EC"/>
    <w:rsid w:val="0B45010B"/>
    <w:rsid w:val="0C020633"/>
    <w:rsid w:val="0C804976"/>
    <w:rsid w:val="0D605732"/>
    <w:rsid w:val="0DD57ECE"/>
    <w:rsid w:val="0E3361B1"/>
    <w:rsid w:val="0E5C21FD"/>
    <w:rsid w:val="0F262ACD"/>
    <w:rsid w:val="0F53142C"/>
    <w:rsid w:val="10EE5BD2"/>
    <w:rsid w:val="14C76CB9"/>
    <w:rsid w:val="15DA6FC6"/>
    <w:rsid w:val="168B1A5F"/>
    <w:rsid w:val="16920812"/>
    <w:rsid w:val="1742657D"/>
    <w:rsid w:val="18934E7A"/>
    <w:rsid w:val="1C070A67"/>
    <w:rsid w:val="1D7465CC"/>
    <w:rsid w:val="21110E24"/>
    <w:rsid w:val="217D46AD"/>
    <w:rsid w:val="232778B2"/>
    <w:rsid w:val="236876C7"/>
    <w:rsid w:val="237A4F1A"/>
    <w:rsid w:val="262631DD"/>
    <w:rsid w:val="27063FDF"/>
    <w:rsid w:val="2C8F686D"/>
    <w:rsid w:val="2CA61530"/>
    <w:rsid w:val="2E660FDE"/>
    <w:rsid w:val="2E7071F6"/>
    <w:rsid w:val="2EDC1978"/>
    <w:rsid w:val="2F472AA0"/>
    <w:rsid w:val="2FCE3DFD"/>
    <w:rsid w:val="2FDC2547"/>
    <w:rsid w:val="31DC486F"/>
    <w:rsid w:val="34E22D4D"/>
    <w:rsid w:val="37D56A93"/>
    <w:rsid w:val="398B5761"/>
    <w:rsid w:val="3A987BA2"/>
    <w:rsid w:val="3B1B4281"/>
    <w:rsid w:val="3B234381"/>
    <w:rsid w:val="3BFC0501"/>
    <w:rsid w:val="3E643684"/>
    <w:rsid w:val="3F52287D"/>
    <w:rsid w:val="416B7C26"/>
    <w:rsid w:val="41C61B6B"/>
    <w:rsid w:val="431F6A03"/>
    <w:rsid w:val="44A75419"/>
    <w:rsid w:val="45361540"/>
    <w:rsid w:val="46E20293"/>
    <w:rsid w:val="485B4839"/>
    <w:rsid w:val="4A6F6D2D"/>
    <w:rsid w:val="4B92138C"/>
    <w:rsid w:val="4B95421D"/>
    <w:rsid w:val="4D0A12F6"/>
    <w:rsid w:val="4DA63D16"/>
    <w:rsid w:val="4E516B22"/>
    <w:rsid w:val="522E2CD6"/>
    <w:rsid w:val="55D63CAA"/>
    <w:rsid w:val="56374A61"/>
    <w:rsid w:val="567027DE"/>
    <w:rsid w:val="577B43C0"/>
    <w:rsid w:val="57EB7CF4"/>
    <w:rsid w:val="58254184"/>
    <w:rsid w:val="591C2557"/>
    <w:rsid w:val="5A6E2D45"/>
    <w:rsid w:val="5C2F64BB"/>
    <w:rsid w:val="5DE14588"/>
    <w:rsid w:val="5F247EBB"/>
    <w:rsid w:val="6031230F"/>
    <w:rsid w:val="605401EB"/>
    <w:rsid w:val="609A4BD3"/>
    <w:rsid w:val="61AD0E18"/>
    <w:rsid w:val="62882016"/>
    <w:rsid w:val="62EE2458"/>
    <w:rsid w:val="62F62474"/>
    <w:rsid w:val="640815D9"/>
    <w:rsid w:val="65A22784"/>
    <w:rsid w:val="65B31738"/>
    <w:rsid w:val="66B91727"/>
    <w:rsid w:val="66DF1A9B"/>
    <w:rsid w:val="690E7D23"/>
    <w:rsid w:val="6AF80B9B"/>
    <w:rsid w:val="6BAD2A66"/>
    <w:rsid w:val="6CDE3E9F"/>
    <w:rsid w:val="6CED41BB"/>
    <w:rsid w:val="6E096DB4"/>
    <w:rsid w:val="6EF74444"/>
    <w:rsid w:val="701B67C5"/>
    <w:rsid w:val="71125845"/>
    <w:rsid w:val="71692AF0"/>
    <w:rsid w:val="71B307A3"/>
    <w:rsid w:val="72C40ECA"/>
    <w:rsid w:val="744146FD"/>
    <w:rsid w:val="744D2A74"/>
    <w:rsid w:val="75E10DA6"/>
    <w:rsid w:val="773A3B3B"/>
    <w:rsid w:val="77A24B7F"/>
    <w:rsid w:val="79336CA0"/>
    <w:rsid w:val="79A2386E"/>
    <w:rsid w:val="7B4E77F7"/>
    <w:rsid w:val="7E0A5DEF"/>
    <w:rsid w:val="7F20194F"/>
    <w:rsid w:val="7F4A2182"/>
    <w:rsid w:val="7F531EB8"/>
    <w:rsid w:val="7F910F92"/>
    <w:rsid w:val="7F9F76B6"/>
  </w:rsids>
  <m:mathPr>
    <m:mathFont m:val="Cambria Math"/>
    <m:brkBin m:val="before"/>
    <m:brkBinSub m:val="--"/>
    <m:smallFrac m:val="1"/>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qFormat="1"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unhideWhenUsed="0" w:uiPriority="0" w:semiHidden="0" w:name="Table Grid" w:locked="1"/>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11">
    <w:name w:val="Default Paragraph Font"/>
    <w:semiHidden/>
    <w:unhideWhenUsed/>
    <w:qFormat/>
    <w:uiPriority w:val="1"/>
  </w:style>
  <w:style w:type="table" w:default="1" w:styleId="10">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eastAsia="宋体" w:cs="Times New Roman"/>
      <w:kern w:val="2"/>
      <w:sz w:val="21"/>
      <w:szCs w:val="22"/>
    </w:rPr>
    <w:tblPr>
      <w:tblCellMar>
        <w:top w:w="0" w:type="dxa"/>
        <w:left w:w="108" w:type="dxa"/>
        <w:bottom w:w="0" w:type="dxa"/>
        <w:right w:w="108" w:type="dxa"/>
      </w:tblCellMar>
    </w:tblPr>
  </w:style>
  <w:style w:type="paragraph" w:styleId="2">
    <w:name w:val="No Spacing"/>
    <w:next w:val="1"/>
    <w:qFormat/>
    <w:uiPriority w:val="1"/>
    <w:pPr>
      <w:widowControl w:val="0"/>
      <w:jc w:val="both"/>
    </w:pPr>
    <w:rPr>
      <w:rFonts w:ascii="Calibri" w:hAnsi="Calibri" w:eastAsia="宋体" w:cs="Times New Roman"/>
      <w:kern w:val="2"/>
      <w:sz w:val="21"/>
      <w:szCs w:val="22"/>
      <w:lang w:val="en-US" w:eastAsia="zh-CN" w:bidi="ar-SA"/>
    </w:rPr>
  </w:style>
  <w:style w:type="paragraph" w:styleId="3">
    <w:name w:val="annotation text"/>
    <w:basedOn w:val="1"/>
    <w:link w:val="15"/>
    <w:qFormat/>
    <w:uiPriority w:val="99"/>
    <w:pPr>
      <w:jc w:val="left"/>
    </w:pPr>
    <w:rPr>
      <w:rFonts w:ascii="Times New Roman" w:hAnsi="Times New Roman"/>
      <w:szCs w:val="24"/>
    </w:rPr>
  </w:style>
  <w:style w:type="paragraph" w:styleId="4">
    <w:name w:val="Body Text"/>
    <w:basedOn w:val="1"/>
    <w:next w:val="1"/>
    <w:link w:val="24"/>
    <w:qFormat/>
    <w:uiPriority w:val="0"/>
    <w:pPr>
      <w:snapToGrid w:val="0"/>
      <w:spacing w:line="579" w:lineRule="exact"/>
    </w:pPr>
    <w:rPr>
      <w:rFonts w:eastAsia="仿宋_GB2312"/>
      <w:sz w:val="32"/>
    </w:rPr>
  </w:style>
  <w:style w:type="paragraph" w:styleId="5">
    <w:name w:val="Balloon Text"/>
    <w:basedOn w:val="1"/>
    <w:link w:val="16"/>
    <w:qFormat/>
    <w:uiPriority w:val="99"/>
    <w:rPr>
      <w:rFonts w:ascii="Times New Roman" w:hAnsi="Times New Roman"/>
      <w:sz w:val="18"/>
      <w:szCs w:val="18"/>
    </w:rPr>
  </w:style>
  <w:style w:type="paragraph" w:styleId="6">
    <w:name w:val="footer"/>
    <w:basedOn w:val="1"/>
    <w:link w:val="17"/>
    <w:qFormat/>
    <w:uiPriority w:val="99"/>
    <w:pPr>
      <w:tabs>
        <w:tab w:val="center" w:pos="4153"/>
        <w:tab w:val="right" w:pos="8306"/>
      </w:tabs>
      <w:snapToGrid w:val="0"/>
      <w:jc w:val="left"/>
    </w:pPr>
    <w:rPr>
      <w:sz w:val="18"/>
      <w:szCs w:val="18"/>
    </w:rPr>
  </w:style>
  <w:style w:type="paragraph" w:styleId="7">
    <w:name w:val="header"/>
    <w:basedOn w:val="1"/>
    <w:link w:val="18"/>
    <w:qFormat/>
    <w:uiPriority w:val="99"/>
    <w:pPr>
      <w:pBdr>
        <w:bottom w:val="single" w:color="auto" w:sz="6" w:space="1"/>
      </w:pBdr>
      <w:tabs>
        <w:tab w:val="center" w:pos="4153"/>
        <w:tab w:val="right" w:pos="8306"/>
      </w:tabs>
      <w:snapToGrid w:val="0"/>
      <w:jc w:val="center"/>
    </w:pPr>
    <w:rPr>
      <w:sz w:val="18"/>
      <w:szCs w:val="18"/>
    </w:rPr>
  </w:style>
  <w:style w:type="paragraph" w:styleId="8">
    <w:name w:val="footnote text"/>
    <w:basedOn w:val="1"/>
    <w:next w:val="4"/>
    <w:link w:val="23"/>
    <w:unhideWhenUsed/>
    <w:qFormat/>
    <w:uiPriority w:val="99"/>
    <w:pPr>
      <w:keepNext w:val="0"/>
      <w:keepLines w:val="0"/>
      <w:widowControl w:val="0"/>
      <w:suppressLineNumbers w:val="0"/>
      <w:snapToGrid w:val="0"/>
      <w:spacing w:before="0" w:beforeAutospacing="0" w:after="0" w:afterAutospacing="0"/>
      <w:ind w:left="0" w:right="0"/>
      <w:jc w:val="left"/>
    </w:pPr>
    <w:rPr>
      <w:rFonts w:hint="default" w:ascii="Calibri" w:hAnsi="Calibri" w:eastAsia="宋体" w:cs="Times New Roman"/>
      <w:kern w:val="2"/>
      <w:sz w:val="18"/>
      <w:szCs w:val="18"/>
      <w:lang w:val="en-US" w:eastAsia="zh-CN" w:bidi="ar"/>
    </w:rPr>
  </w:style>
  <w:style w:type="paragraph" w:styleId="9">
    <w:name w:val="Normal (Web)"/>
    <w:basedOn w:val="1"/>
    <w:semiHidden/>
    <w:qFormat/>
    <w:uiPriority w:val="99"/>
    <w:pPr>
      <w:widowControl/>
      <w:spacing w:before="100" w:beforeAutospacing="1" w:after="100" w:afterAutospacing="1"/>
      <w:jc w:val="left"/>
    </w:pPr>
    <w:rPr>
      <w:rFonts w:ascii="宋体" w:hAnsi="宋体" w:cs="宋体"/>
      <w:kern w:val="0"/>
      <w:sz w:val="24"/>
      <w:szCs w:val="24"/>
    </w:rPr>
  </w:style>
  <w:style w:type="character" w:styleId="12">
    <w:name w:val="page number"/>
    <w:basedOn w:val="11"/>
    <w:qFormat/>
    <w:uiPriority w:val="99"/>
    <w:rPr>
      <w:rFonts w:cs="Times New Roman"/>
    </w:rPr>
  </w:style>
  <w:style w:type="character" w:styleId="13">
    <w:name w:val="Hyperlink"/>
    <w:basedOn w:val="11"/>
    <w:unhideWhenUsed/>
    <w:qFormat/>
    <w:uiPriority w:val="99"/>
    <w:rPr>
      <w:color w:val="0000FF" w:themeColor="hyperlink"/>
      <w:u w:val="single"/>
    </w:rPr>
  </w:style>
  <w:style w:type="character" w:styleId="14">
    <w:name w:val="annotation reference"/>
    <w:basedOn w:val="11"/>
    <w:qFormat/>
    <w:uiPriority w:val="99"/>
    <w:rPr>
      <w:rFonts w:cs="Times New Roman"/>
      <w:sz w:val="21"/>
      <w:szCs w:val="21"/>
    </w:rPr>
  </w:style>
  <w:style w:type="character" w:customStyle="1" w:styleId="15">
    <w:name w:val="批注文字 Char"/>
    <w:basedOn w:val="11"/>
    <w:link w:val="3"/>
    <w:qFormat/>
    <w:locked/>
    <w:uiPriority w:val="99"/>
    <w:rPr>
      <w:rFonts w:ascii="Times New Roman" w:hAnsi="Times New Roman" w:eastAsia="宋体" w:cs="Times New Roman"/>
      <w:sz w:val="24"/>
      <w:szCs w:val="24"/>
    </w:rPr>
  </w:style>
  <w:style w:type="character" w:customStyle="1" w:styleId="16">
    <w:name w:val="批注框文本 Char"/>
    <w:basedOn w:val="11"/>
    <w:link w:val="5"/>
    <w:qFormat/>
    <w:locked/>
    <w:uiPriority w:val="99"/>
    <w:rPr>
      <w:rFonts w:ascii="Times New Roman" w:hAnsi="Times New Roman" w:eastAsia="宋体" w:cs="Times New Roman"/>
      <w:sz w:val="18"/>
      <w:szCs w:val="18"/>
    </w:rPr>
  </w:style>
  <w:style w:type="character" w:customStyle="1" w:styleId="17">
    <w:name w:val="页脚 Char"/>
    <w:basedOn w:val="11"/>
    <w:link w:val="6"/>
    <w:qFormat/>
    <w:locked/>
    <w:uiPriority w:val="99"/>
    <w:rPr>
      <w:rFonts w:cs="Times New Roman"/>
      <w:sz w:val="18"/>
      <w:szCs w:val="18"/>
    </w:rPr>
  </w:style>
  <w:style w:type="character" w:customStyle="1" w:styleId="18">
    <w:name w:val="页眉 Char"/>
    <w:basedOn w:val="11"/>
    <w:link w:val="7"/>
    <w:qFormat/>
    <w:locked/>
    <w:uiPriority w:val="99"/>
    <w:rPr>
      <w:rFonts w:cs="Times New Roman"/>
      <w:sz w:val="18"/>
      <w:szCs w:val="18"/>
    </w:rPr>
  </w:style>
  <w:style w:type="paragraph" w:customStyle="1" w:styleId="19">
    <w:name w:val="列出段落1"/>
    <w:basedOn w:val="1"/>
    <w:qFormat/>
    <w:uiPriority w:val="99"/>
    <w:pPr>
      <w:ind w:firstLine="420" w:firstLineChars="200"/>
    </w:pPr>
    <w:rPr>
      <w:rFonts w:ascii="Times New Roman" w:hAnsi="Times New Roman"/>
      <w:szCs w:val="24"/>
    </w:rPr>
  </w:style>
  <w:style w:type="paragraph" w:styleId="20">
    <w:name w:val="List Paragraph"/>
    <w:basedOn w:val="1"/>
    <w:qFormat/>
    <w:uiPriority w:val="99"/>
    <w:pPr>
      <w:ind w:firstLine="420" w:firstLineChars="200"/>
    </w:pPr>
    <w:rPr>
      <w:rFonts w:ascii="Times New Roman" w:hAnsi="Times New Roman"/>
      <w:szCs w:val="24"/>
    </w:rPr>
  </w:style>
  <w:style w:type="paragraph" w:customStyle="1" w:styleId="21">
    <w:name w:val="修订1"/>
    <w:hidden/>
    <w:qFormat/>
    <w:uiPriority w:val="99"/>
    <w:rPr>
      <w:rFonts w:ascii="Times New Roman" w:hAnsi="Times New Roman" w:eastAsia="宋体" w:cs="Times New Roman"/>
      <w:kern w:val="2"/>
      <w:sz w:val="21"/>
      <w:szCs w:val="24"/>
      <w:lang w:val="en-US" w:eastAsia="zh-CN" w:bidi="ar-SA"/>
    </w:rPr>
  </w:style>
  <w:style w:type="character" w:customStyle="1" w:styleId="22">
    <w:name w:val="font21"/>
    <w:basedOn w:val="11"/>
    <w:qFormat/>
    <w:uiPriority w:val="0"/>
    <w:rPr>
      <w:rFonts w:hint="eastAsia" w:ascii="仿宋_GB2312" w:eastAsia="仿宋_GB2312" w:cs="仿宋_GB2312"/>
      <w:color w:val="000000"/>
      <w:sz w:val="22"/>
      <w:szCs w:val="22"/>
      <w:u w:val="none"/>
    </w:rPr>
  </w:style>
  <w:style w:type="character" w:customStyle="1" w:styleId="23">
    <w:name w:val="脚注文本 Char"/>
    <w:basedOn w:val="11"/>
    <w:link w:val="8"/>
    <w:qFormat/>
    <w:uiPriority w:val="0"/>
    <w:rPr>
      <w:rFonts w:hint="default" w:ascii="Calibri" w:hAnsi="Calibri" w:cs="Calibri"/>
      <w:kern w:val="2"/>
      <w:sz w:val="18"/>
      <w:szCs w:val="18"/>
    </w:rPr>
  </w:style>
  <w:style w:type="character" w:customStyle="1" w:styleId="24">
    <w:name w:val="正文文本 Char"/>
    <w:basedOn w:val="11"/>
    <w:link w:val="4"/>
    <w:qFormat/>
    <w:uiPriority w:val="0"/>
    <w:rPr>
      <w:rFonts w:hint="default" w:ascii="Calibri" w:hAnsi="Calibri" w:eastAsia="仿宋_GB2312" w:cs="Calibri"/>
      <w:kern w:val="2"/>
      <w:sz w:val="32"/>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Pages>
  <Words>2991</Words>
  <Characters>3059</Characters>
  <Lines>36</Lines>
  <Paragraphs>10</Paragraphs>
  <TotalTime>2</TotalTime>
  <ScaleCrop>false</ScaleCrop>
  <LinksUpToDate>false</LinksUpToDate>
  <CharactersWithSpaces>3061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2021-01-21T07:42:00Z</dcterms:created>
  <dc:creator>lenovo</dc:creator>
  <cp:lastModifiedBy>邓婷</cp:lastModifiedBy>
  <cp:lastPrinted>2024-04-08T00:18:00Z</cp:lastPrinted>
  <dcterms:modified xsi:type="dcterms:W3CDTF">2025-10-09T01:36:59Z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05A3344A75BF4096A4DCE5DEC370004C</vt:lpwstr>
  </property>
  <property fmtid="{D5CDD505-2E9C-101B-9397-08002B2CF9AE}" pid="4" name="KSOTemplateDocerSaveRecord">
    <vt:lpwstr>eyJoZGlkIjoiYzcyNDI3NjdjZTYxODY2MDcwNjk4OTAxM2VlY2VhOGIiLCJ1c2VySWQiOiIxMDY5MjgzMDcxIn0=</vt:lpwstr>
  </property>
</Properties>
</file>